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48"/>
        <w:gridCol w:w="851"/>
        <w:gridCol w:w="1"/>
        <w:gridCol w:w="786"/>
        <w:gridCol w:w="4"/>
        <w:gridCol w:w="695"/>
        <w:gridCol w:w="569"/>
        <w:gridCol w:w="670"/>
        <w:gridCol w:w="1209"/>
        <w:gridCol w:w="354"/>
        <w:gridCol w:w="1272"/>
        <w:gridCol w:w="251"/>
        <w:gridCol w:w="1167"/>
        <w:gridCol w:w="675"/>
        <w:gridCol w:w="1"/>
        <w:gridCol w:w="34"/>
        <w:gridCol w:w="564"/>
        <w:gridCol w:w="1314"/>
      </w:tblGrid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Przedmiot</w:t>
            </w:r>
          </w:p>
        </w:tc>
        <w:tc>
          <w:tcPr>
            <w:tcW w:w="8080" w:type="dxa"/>
            <w:gridSpan w:val="12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  <w:t>Biologia i mikrobiologia</w:t>
            </w:r>
          </w:p>
        </w:tc>
      </w:tr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Koordynator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Prowadzący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Tryb studiów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Profil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Dyscyplina wiodąca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Kategoria przedmiotu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Forma zajęć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Poziom studiów, semestr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  <w:t>studia I stopnia semestr I</w:t>
            </w:r>
          </w:p>
        </w:tc>
      </w:tr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Typ modułu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  <w:t>moduł A nauki przedkliniczne</w:t>
            </w:r>
          </w:p>
        </w:tc>
      </w:tr>
      <w:tr>
        <w:trPr>
          <w:trHeight w:val="165" w:hRule="atLeast"/>
        </w:trPr>
        <w:tc>
          <w:tcPr>
            <w:tcW w:w="3185" w:type="dxa"/>
            <w:gridSpan w:val="6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Miejsce realizacji przedmiotu</w:t>
            </w:r>
          </w:p>
        </w:tc>
        <w:tc>
          <w:tcPr>
            <w:tcW w:w="80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18"/>
                <w:szCs w:val="18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5" w:type="dxa"/>
            <w:gridSpan w:val="18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848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suma</w:t>
            </w:r>
          </w:p>
        </w:tc>
        <w:tc>
          <w:tcPr>
            <w:tcW w:w="787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wykład</w:t>
            </w:r>
          </w:p>
        </w:tc>
        <w:tc>
          <w:tcPr>
            <w:tcW w:w="1938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ćwiczenia</w:t>
            </w:r>
          </w:p>
        </w:tc>
        <w:tc>
          <w:tcPr>
            <w:tcW w:w="1563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konwersatoria</w:t>
            </w:r>
          </w:p>
        </w:tc>
        <w:tc>
          <w:tcPr>
            <w:tcW w:w="12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seminarium</w:t>
            </w:r>
          </w:p>
        </w:tc>
        <w:tc>
          <w:tcPr>
            <w:tcW w:w="1274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848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18"/>
                <w:szCs w:val="18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87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938" w:type="dxa"/>
            <w:gridSpan w:val="4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</w:r>
          </w:p>
        </w:tc>
        <w:tc>
          <w:tcPr>
            <w:tcW w:w="1274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18"/>
                <w:szCs w:val="18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848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18"/>
                <w:szCs w:val="18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87" w:type="dxa"/>
            <w:gridSpan w:val="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938" w:type="dxa"/>
            <w:gridSpan w:val="4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</w:r>
          </w:p>
        </w:tc>
        <w:tc>
          <w:tcPr>
            <w:tcW w:w="1274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18"/>
                <w:szCs w:val="18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490" w:type="dxa"/>
            <w:gridSpan w:val="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  <w:t>Wymagania wstępne</w:t>
            </w:r>
          </w:p>
        </w:tc>
        <w:tc>
          <w:tcPr>
            <w:tcW w:w="8775" w:type="dxa"/>
            <w:gridSpan w:val="13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Znajomość biologii i chemii na poziome szkoły średniej.</w:t>
            </w:r>
          </w:p>
        </w:tc>
      </w:tr>
      <w:tr>
        <w:trPr>
          <w:trHeight w:val="277" w:hRule="atLeast"/>
        </w:trPr>
        <w:tc>
          <w:tcPr>
            <w:tcW w:w="2490" w:type="dxa"/>
            <w:gridSpan w:val="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  <w:t>Cel kształcenia</w:t>
            </w:r>
          </w:p>
        </w:tc>
        <w:tc>
          <w:tcPr>
            <w:tcW w:w="8775" w:type="dxa"/>
            <w:gridSpan w:val="1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Dostarczenie wiedzy na temat właściwości mikroorganizmów i pasożytów ważnych w patologii człowieka. Przedstawienie zarysu diagnostyki mikrobiologicznej i parazytologicznej.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Prezentacja zagadnień z zakresu kontroli zakażeń związanych z udzielaniem świadczeń zdrowotnych.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Wprowadzenie zagadnień dotyczących antybiotykoterapii i lekooporności.</w:t>
            </w:r>
          </w:p>
        </w:tc>
      </w:tr>
      <w:tr>
        <w:trPr>
          <w:trHeight w:val="277" w:hRule="atLeast"/>
        </w:trPr>
        <w:tc>
          <w:tcPr>
            <w:tcW w:w="2490" w:type="dxa"/>
            <w:gridSpan w:val="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  <w:t>Metody dydaktyczne</w:t>
            </w:r>
          </w:p>
        </w:tc>
        <w:tc>
          <w:tcPr>
            <w:tcW w:w="8775" w:type="dxa"/>
            <w:gridSpan w:val="1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pl-PL" w:eastAsia="en-US" w:bidi="ar-SA"/>
              </w:rPr>
              <w:t>W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ykład problemowy, wykład konwersatoryjny, elementy dyskusji dydaktycznej.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490" w:type="dxa"/>
            <w:gridSpan w:val="5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  <w:t>Środki dydaktyczne</w:t>
            </w:r>
          </w:p>
        </w:tc>
        <w:tc>
          <w:tcPr>
            <w:tcW w:w="8775" w:type="dxa"/>
            <w:gridSpan w:val="13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Wykłady, prezentacj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  <w:t>e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 xml:space="preserve"> multimedialn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  <w:t>e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, referat, programy multimedialne, sprzęt audiowizualny.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Ćwiczenia, prezentacja multimedialna, wyposażenie pracowni, fantomy, plansze dydaktyczne.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18"/>
                <w:szCs w:val="18"/>
                <w:lang w:eastAsia="zh-CN"/>
              </w:rPr>
              <w:t>Efekty uczenia się</w:t>
            </w:r>
          </w:p>
        </w:tc>
        <w:tc>
          <w:tcPr>
            <w:tcW w:w="19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18"/>
                <w:szCs w:val="18"/>
                <w:lang w:eastAsia="zh-CN"/>
              </w:rPr>
              <w:t>Metody weryfikacji</w:t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 Absolwent zna i rozumie:</w:t>
            </w:r>
          </w:p>
        </w:tc>
        <w:tc>
          <w:tcPr>
            <w:tcW w:w="6862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57" w:after="57"/>
              <w:ind w:hanging="0" w:left="0"/>
              <w:jc w:val="left"/>
              <w:outlineLvl w:val="0"/>
              <w:rPr>
                <w:color w:val="11111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111111"/>
                <w:sz w:val="18"/>
                <w:szCs w:val="18"/>
              </w:rPr>
              <w:t>A.W16.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18"/>
                <w:szCs w:val="18"/>
                <w:lang w:eastAsia="zh-CN"/>
              </w:rPr>
              <w:t xml:space="preserve"> Uwarunkowania genetyczne grup krwi człowieka oraz konfliktu oraz konfliktu serologicznego w układzie Rh</w:t>
            </w:r>
          </w:p>
        </w:tc>
        <w:tc>
          <w:tcPr>
            <w:tcW w:w="191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sz w:val="18"/>
                <w:szCs w:val="18"/>
              </w:rPr>
            </w:pPr>
            <w:bookmarkStart w:id="0" w:name="__DdeLink__1300_1124013712"/>
            <w:r>
              <w:rPr>
                <w:rFonts w:eastAsia="Times New Roman" w:cs="Times New Roman" w:ascii="Times New Roman" w:hAnsi="Times New Roman"/>
                <w:color w:val="auto"/>
                <w:kern w:val="2"/>
                <w:sz w:val="18"/>
                <w:szCs w:val="18"/>
                <w:lang w:val="pl-PL" w:eastAsia="pl-PL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2"/>
                <w:sz w:val="18"/>
                <w:szCs w:val="18"/>
                <w:lang w:eastAsia="pl-PL"/>
              </w:rPr>
              <w:t>est,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aktywność w trakcie zajęć, bieżąca kontrola na zajęciach, dyskusja</w:t>
            </w:r>
            <w:bookmarkEnd w:id="0"/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862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57" w:after="57"/>
              <w:ind w:hanging="0" w:left="0"/>
              <w:jc w:val="left"/>
              <w:outlineLvl w:val="0"/>
              <w:rPr>
                <w:color w:val="11111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111111"/>
                <w:sz w:val="18"/>
                <w:szCs w:val="18"/>
              </w:rPr>
              <w:t>A.W17. Podstawowe pojęcia z zakresu mikrobiologii i parazytologii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862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57" w:after="57"/>
              <w:ind w:hanging="0" w:left="0"/>
              <w:jc w:val="left"/>
              <w:outlineLvl w:val="0"/>
              <w:rPr>
                <w:color w:val="11111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111111"/>
                <w:sz w:val="18"/>
                <w:szCs w:val="18"/>
              </w:rPr>
              <w:t>A.W18. Budowa materiału genetycznego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Autospacing="1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lang w:eastAsia="pl-PL"/>
              </w:rPr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862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57" w:after="57"/>
              <w:ind w:hanging="0" w:left="0"/>
              <w:jc w:val="left"/>
              <w:outlineLvl w:val="0"/>
              <w:rPr>
                <w:color w:val="11111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111111"/>
                <w:sz w:val="18"/>
                <w:szCs w:val="18"/>
              </w:rPr>
              <w:t>A.W19. epidemiologię zarażeń wirusami i bakteriami oraz zakażeń grzybami i pasożytami;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</w:r>
          </w:p>
        </w:tc>
        <w:tc>
          <w:tcPr>
            <w:tcW w:w="6862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57" w:after="57"/>
              <w:ind w:hanging="0" w:left="0"/>
              <w:jc w:val="left"/>
              <w:outlineLvl w:val="0"/>
              <w:rPr>
                <w:color w:val="11111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111111"/>
                <w:sz w:val="18"/>
                <w:szCs w:val="18"/>
              </w:rPr>
              <w:t>A.W</w:t>
            </w:r>
            <w:r>
              <w:rPr>
                <w:rFonts w:eastAsia="Calibri" w:cs="Times New Roman" w:ascii="Times New Roman" w:hAnsi="Times New Roman" w:eastAsiaTheme="minorHAnsi"/>
                <w:color w:val="111111"/>
                <w:kern w:val="0"/>
                <w:sz w:val="18"/>
                <w:szCs w:val="18"/>
                <w:lang w:val="pl-PL" w:eastAsia="en-US" w:bidi="ar-SA"/>
              </w:rPr>
              <w:t>20.</w:t>
            </w:r>
            <w:r>
              <w:rPr>
                <w:rFonts w:cs="Times New Roman" w:ascii="Times New Roman" w:hAnsi="Times New Roman"/>
                <w:color w:val="111111"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color w:val="111111"/>
                <w:kern w:val="0"/>
                <w:sz w:val="18"/>
                <w:szCs w:val="18"/>
                <w:lang w:val="pl-PL" w:eastAsia="en-US" w:bidi="ar-SA"/>
              </w:rPr>
              <w:t>Zasady postępowania przeciwepidemicznego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Autospacing="1" w:after="0"/>
              <w:ind w:hanging="0" w:left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</w:r>
          </w:p>
        </w:tc>
        <w:tc>
          <w:tcPr>
            <w:tcW w:w="6862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6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A.W21. Genetyczne mechanizmy nabywania lekooporności przez drobnoustroje i komórki nowotworowe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18"/>
                <w:szCs w:val="18"/>
                <w:lang w:eastAsia="zh-CN"/>
              </w:rPr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</w:r>
          </w:p>
        </w:tc>
        <w:tc>
          <w:tcPr>
            <w:tcW w:w="6862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6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A.W22. Inwazyjne formy lub stadia rozwojowe wybranych pasożytnicznych grzybów, pierwotniaków, helmintów i stawonogów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18"/>
                <w:szCs w:val="18"/>
                <w:lang w:eastAsia="zh-CN"/>
              </w:rPr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</w:r>
          </w:p>
        </w:tc>
        <w:tc>
          <w:tcPr>
            <w:tcW w:w="6862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6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A.W23. Zasady funkcjonowania układu pasożyt-żywiciel i podstawowe objawy chorobowe wywołane przez pasożyty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18"/>
                <w:szCs w:val="18"/>
                <w:lang w:eastAsia="zh-CN"/>
              </w:rPr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</w:r>
          </w:p>
        </w:tc>
        <w:tc>
          <w:tcPr>
            <w:tcW w:w="6862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6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A.W24. Objawy zakażeń jatrogennych, drogi ich rozprzetrzeniania się i patogeny wywołujące zmiany w poszczególnych narządach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18"/>
                <w:szCs w:val="18"/>
                <w:lang w:eastAsia="zh-CN"/>
              </w:rPr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</w:r>
          </w:p>
        </w:tc>
        <w:tc>
          <w:tcPr>
            <w:tcW w:w="6862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6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A.W25. Zasady dezynfekcji, sterylizacji i postępowania antyseptycznego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18"/>
                <w:szCs w:val="18"/>
                <w:lang w:eastAsia="zh-CN"/>
              </w:rPr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</w:r>
          </w:p>
        </w:tc>
        <w:tc>
          <w:tcPr>
            <w:tcW w:w="6862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6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A.W26. Podstawy diagnostyki mikrobiologicznej i parazytologicznej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18"/>
                <w:szCs w:val="18"/>
                <w:lang w:eastAsia="zh-CN"/>
              </w:rPr>
            </w:r>
          </w:p>
        </w:tc>
      </w:tr>
      <w:tr>
        <w:trPr>
          <w:trHeight w:val="138" w:hRule="atLeast"/>
        </w:trPr>
        <w:tc>
          <w:tcPr>
            <w:tcW w:w="2490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</w:r>
          </w:p>
        </w:tc>
        <w:tc>
          <w:tcPr>
            <w:tcW w:w="6862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6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A.W27. Podstawy rozwoju oraz mechanizmy działania układu odpornościowego, w tym swoiste i nieswoiste mechanizmy odporności humoralnej i komórkowej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18"/>
                <w:szCs w:val="18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490" w:type="dxa"/>
            <w:gridSpan w:val="5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862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A.U7. Rozpoznawanie zarażenia wywołanego przez wirusy, bakterie i grzyby oraz zarażenia pasożytami, z uwzględnieniem geograficznego zasięgu ich występowania</w:t>
            </w:r>
          </w:p>
        </w:tc>
        <w:tc>
          <w:tcPr>
            <w:tcW w:w="191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18"/>
                <w:szCs w:val="18"/>
                <w:lang w:eastAsia="pl-PL"/>
              </w:rPr>
              <w:t>Prezentacja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kern w:val="2"/>
                <w:sz w:val="18"/>
                <w:szCs w:val="18"/>
                <w:lang w:eastAsia="pl-PL"/>
              </w:rPr>
              <w:t>realizacja zleconego zadania, sprawdzian praktyczny</w:t>
            </w:r>
          </w:p>
        </w:tc>
      </w:tr>
      <w:tr>
        <w:trPr>
          <w:trHeight w:val="277" w:hRule="atLeast"/>
        </w:trPr>
        <w:tc>
          <w:tcPr>
            <w:tcW w:w="2490" w:type="dxa"/>
            <w:gridSpan w:val="5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</w:r>
          </w:p>
        </w:tc>
        <w:tc>
          <w:tcPr>
            <w:tcW w:w="6862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A.U12. Posługiwanie się wybranymi 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pl-PL" w:eastAsia="en-US" w:bidi="ar-SA"/>
              </w:rPr>
              <w:t>podstawowymi technikami laboratoryjnymi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490" w:type="dxa"/>
            <w:gridSpan w:val="5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</w:r>
          </w:p>
        </w:tc>
        <w:tc>
          <w:tcPr>
            <w:tcW w:w="6862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A.U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pl-PL" w:eastAsia="en-US" w:bidi="ar-SA"/>
              </w:rPr>
              <w:t>14.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pl-PL" w:eastAsia="en-US" w:bidi="ar-SA"/>
              </w:rPr>
              <w:t>Stosowanie odpowiednich do sytuacji postępowań epidemiologicznych</w:t>
            </w:r>
          </w:p>
        </w:tc>
        <w:tc>
          <w:tcPr>
            <w:tcW w:w="1913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895" w:hRule="atLeast"/>
        </w:trPr>
        <w:tc>
          <w:tcPr>
            <w:tcW w:w="2490" w:type="dxa"/>
            <w:gridSpan w:val="5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  <w:t>Kompetencje społeczne</w:t>
            </w:r>
          </w:p>
        </w:tc>
        <w:tc>
          <w:tcPr>
            <w:tcW w:w="6862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K.5 dostrzegania i rozpoznawania własnych ograniczeń, dokonywania samooceny deficytów i potrzeb edukacyjnych;</w:t>
            </w:r>
          </w:p>
        </w:tc>
        <w:tc>
          <w:tcPr>
            <w:tcW w:w="19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  <w:t>Obserwacja przez opiekuna / nauczyciela prowadzącego</w:t>
            </w:r>
          </w:p>
        </w:tc>
      </w:tr>
      <w:tr>
        <w:trPr>
          <w:trHeight w:val="277" w:hRule="atLeast"/>
        </w:trPr>
        <w:tc>
          <w:tcPr>
            <w:tcW w:w="2490" w:type="dxa"/>
            <w:gridSpan w:val="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18"/>
                <w:szCs w:val="18"/>
                <w:lang w:eastAsia="zh-CN"/>
              </w:rPr>
              <w:t>Metody weryfikacji standardu kształcenia</w:t>
            </w:r>
          </w:p>
        </w:tc>
        <w:tc>
          <w:tcPr>
            <w:tcW w:w="8775" w:type="dxa"/>
            <w:gridSpan w:val="13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18"/>
                <w:szCs w:val="18"/>
                <w:lang w:eastAsia="zh-CN"/>
              </w:rPr>
              <w:t>Treści programowe</w:t>
            </w:r>
          </w:p>
        </w:tc>
        <w:tc>
          <w:tcPr>
            <w:tcW w:w="191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18"/>
                <w:szCs w:val="18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8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18"/>
                <w:szCs w:val="18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  <w:t>Wprowadzenie do mikrobiologii lekarskiej: drobnoustroje i człowiek, klasyfikacja i identyfikacja drobnoustrojów. Chorobotwórczość drobnoustrojów.</w:t>
            </w:r>
          </w:p>
        </w:tc>
        <w:tc>
          <w:tcPr>
            <w:tcW w:w="1912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Układ odpornościowy. Mechanizmy obronne organizmu. Immunoprofilaktyka. Immunoglobuliny Antybiotyki i chemioterapeutyki. Mechanizm działania leków przeciwbakteryjnych. Oporność bakterii na antybiotyki</w:t>
            </w:r>
          </w:p>
        </w:tc>
        <w:tc>
          <w:tcPr>
            <w:tcW w:w="1912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pl-PL"/>
              </w:rPr>
              <w:t>Dezynfekcja i sterylizacja, antyseptyka</w:t>
            </w:r>
          </w:p>
        </w:tc>
        <w:tc>
          <w:tcPr>
            <w:tcW w:w="1912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pl-PL"/>
              </w:rPr>
              <w:t>Bakteriologia kliniczna.</w:t>
            </w:r>
          </w:p>
        </w:tc>
        <w:tc>
          <w:tcPr>
            <w:tcW w:w="1912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pl-PL"/>
              </w:rPr>
              <w:t>Ziarenkowce Gram-dodatnie, laseczki Gram-dodatnie Ziarenkowce Gram-ujemne, pałeczki Gram-ujemne</w:t>
            </w:r>
          </w:p>
        </w:tc>
        <w:tc>
          <w:tcPr>
            <w:tcW w:w="1912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pl-PL"/>
              </w:rPr>
              <w:t>Prątki, krętki, mykoplazmy, bakterie wewnątrzkomórkowe</w:t>
            </w:r>
          </w:p>
        </w:tc>
        <w:tc>
          <w:tcPr>
            <w:tcW w:w="1912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pl-PL"/>
              </w:rPr>
              <w:t>Podstawy wirusologii</w:t>
            </w:r>
          </w:p>
        </w:tc>
        <w:tc>
          <w:tcPr>
            <w:tcW w:w="1912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Podstawy mykologii</w:t>
            </w:r>
          </w:p>
        </w:tc>
        <w:tc>
          <w:tcPr>
            <w:tcW w:w="1912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Podstawy parazytologii</w:t>
            </w:r>
          </w:p>
        </w:tc>
        <w:tc>
          <w:tcPr>
            <w:tcW w:w="1912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Protozoologia, robaki pasożytnicze</w:t>
            </w:r>
          </w:p>
        </w:tc>
        <w:tc>
          <w:tcPr>
            <w:tcW w:w="1912" w:type="dxa"/>
            <w:gridSpan w:val="3"/>
            <w:tcBorders>
              <w:top w:val="single" w:sz="6" w:space="0" w:color="00000A"/>
              <w:left w:val="single" w:sz="4" w:space="0" w:color="000000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8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18"/>
                <w:szCs w:val="18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Charakterystyka bakterii</w:t>
            </w:r>
          </w:p>
        </w:tc>
        <w:tc>
          <w:tcPr>
            <w:tcW w:w="1912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Posocznica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Zapalenia płuc. Gruźlica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Zapalenie opon mózgowo-rdzeniowych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Infekcyjne zapalenie wsierdzia, mięśnia sercowego, osierdzia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Choroby przenoszone drogą płciową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Zakażenia kości, stawów, tkanek miękkich, skóry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Stany naglące w chorobach zakaźnych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Charakterystyka wirusów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Chorobotwórczość wirusów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3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Broń biologiczna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val="pl-PL" w:eastAsia="zh-CN" w:bidi="ar-SA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18"/>
                <w:szCs w:val="18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8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Wykłady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pl-PL"/>
              </w:rPr>
              <w:t>test – zaliczenie na ocenę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pl-PL"/>
              </w:rPr>
              <w:t>uzyskanie ≥60% wymaganej punkt.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Ćwiczenia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pl-PL"/>
              </w:rPr>
              <w:t>zaliczenie z oceną,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18"/>
                <w:szCs w:val="18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18"/>
                <w:szCs w:val="18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00" w:type="dxa"/>
            <w:gridSpan w:val="3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Na ocenę 2 /niedostateczny/</w:t>
            </w:r>
          </w:p>
        </w:tc>
        <w:tc>
          <w:tcPr>
            <w:tcW w:w="2054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Na ocenę 3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/dostateczny/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Na ocenę 4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/dobry/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Na ocenę 4,5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Na ocenę 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00" w:type="dxa"/>
            <w:gridSpan w:val="3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&gt;60%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54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60% do &gt;70%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70% do &gt;75%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75% do &gt;85%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85% do &gt;90%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90% do &gt;100%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00" w:type="dxa"/>
            <w:gridSpan w:val="3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nie prezentuje zaangażowania i zainteresowania przedmiotem</w:t>
            </w:r>
          </w:p>
        </w:tc>
        <w:tc>
          <w:tcPr>
            <w:tcW w:w="2054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prezentuje niewielkie zainteresowanie zagadnieniami zawodowymi.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18"/>
                <w:szCs w:val="18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ind w:hanging="357" w:left="357"/>
              <w:contextualSpacing/>
              <w:rPr>
                <w:sz w:val="18"/>
                <w:szCs w:val="18"/>
              </w:rPr>
            </w:pPr>
            <w:r>
              <w:rPr>
                <w:rFonts w:eastAsia="NSimSun" w:cs="Arial" w:ascii="Liberation Serif" w:hAnsi="Liberation Serif"/>
                <w:kern w:val="2"/>
                <w:sz w:val="18"/>
                <w:szCs w:val="18"/>
                <w:lang w:eastAsia="zh-CN" w:bidi="hi-IN"/>
              </w:rPr>
              <w:t>M.L. Zaremba, J. Borowski: Podstawy mikrobiologii lekarskiej, PZWL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ind w:hanging="357" w:left="357"/>
              <w:contextualSpacing/>
              <w:rPr>
                <w:sz w:val="18"/>
                <w:szCs w:val="18"/>
              </w:rPr>
            </w:pPr>
            <w:r>
              <w:rPr>
                <w:rFonts w:eastAsia="NSimSun" w:cs="Arial" w:ascii="Liberation Serif" w:hAnsi="Liberation Serif"/>
                <w:kern w:val="2"/>
                <w:sz w:val="18"/>
                <w:szCs w:val="18"/>
                <w:lang w:eastAsia="zh-CN" w:bidi="hi-IN"/>
              </w:rPr>
              <w:t>E. Jawetz, J.L. Mielnik, E.A. Adelberg: Przegląd mikrobiologii lekarskiej, PZWL</w:t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ind w:hanging="357" w:left="3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Mackiewicz: Immunologia, PZWL</w:t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ind w:hanging="357" w:left="357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R. Kadłubowski: Zarys parazytologii lekarskiej, PZWL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18"/>
                <w:szCs w:val="18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Heczko Piotr (red.). Mikrobiologia. Podręcznik dla pielęgniarek, położnych i ratowników medycznych, Wydawnictwo Lekarskie PZWL 2014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outlineLvl w:val="0"/>
              <w:rPr>
                <w:sz w:val="18"/>
                <w:szCs w:val="18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18"/>
                <w:szCs w:val="18"/>
                <w:lang w:eastAsia="zh-CN"/>
              </w:rPr>
              <w:t>G. Virella: Mikrobiologia i choroby zakaźne, Urban &amp; Partner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Application>LibreOffice/24.2.5.2$Windows_X86_64 LibreOffice_project/bffef4ea93e59bebbeaf7f431bb02b1a39ee8a59</Application>
  <AppVersion>15.0000</AppVersion>
  <Pages>3</Pages>
  <Words>1067</Words>
  <Characters>7857</Characters>
  <CharactersWithSpaces>8743</CharactersWithSpaces>
  <Paragraphs>198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2026-04-17T15:05:34Z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